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47BB" w14:textId="026D7803" w:rsidR="00CA1CC5" w:rsidRPr="00C74722" w:rsidRDefault="00CA1CC5" w:rsidP="00F5393E">
      <w:pPr>
        <w:jc w:val="both"/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  <w:r w:rsidRPr="00C74722"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  <w:t>Vymáhání nedoplatků: čtvrt biliónů EUR v Evropě</w:t>
      </w:r>
    </w:p>
    <w:p w14:paraId="354F6E1A" w14:textId="77777777" w:rsidR="00CA1CC5" w:rsidRDefault="00CA1CC5" w:rsidP="00F5393E">
      <w:pPr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14:paraId="555BC0D0" w14:textId="5D834E50" w:rsidR="00ED35AA" w:rsidRPr="00AD3FBA" w:rsidRDefault="007D2A05" w:rsidP="00F5393E">
      <w:pPr>
        <w:jc w:val="both"/>
        <w:rPr>
          <w:rFonts w:ascii="Intrum Sans" w:hAnsi="Intrum Sans" w:cs="Arial"/>
          <w:color w:val="000000"/>
          <w:sz w:val="28"/>
          <w:szCs w:val="28"/>
          <w:shd w:val="clear" w:color="auto" w:fill="FFFFFF"/>
          <w:lang w:val="cs-CZ"/>
        </w:rPr>
      </w:pPr>
      <w:r w:rsidRPr="00AD3FBA">
        <w:rPr>
          <w:rFonts w:ascii="Intrum Sans" w:hAnsi="Intrum Sans" w:cs="Arial"/>
          <w:color w:val="000000"/>
          <w:sz w:val="28"/>
          <w:szCs w:val="28"/>
          <w:shd w:val="clear" w:color="auto" w:fill="FFFFFF"/>
          <w:lang w:val="cs-CZ"/>
        </w:rPr>
        <w:t xml:space="preserve">Letošní zpráva Intrum </w:t>
      </w:r>
      <w:proofErr w:type="spellStart"/>
      <w:r w:rsidRPr="00AD3FBA">
        <w:rPr>
          <w:rFonts w:ascii="Intrum Sans" w:hAnsi="Intrum Sans" w:cs="Arial"/>
          <w:color w:val="000000"/>
          <w:sz w:val="28"/>
          <w:szCs w:val="28"/>
          <w:shd w:val="clear" w:color="auto" w:fill="FFFFFF"/>
          <w:lang w:val="cs-CZ"/>
        </w:rPr>
        <w:t>European</w:t>
      </w:r>
      <w:proofErr w:type="spellEnd"/>
      <w:r w:rsidRPr="00AD3FBA">
        <w:rPr>
          <w:rFonts w:ascii="Intrum Sans" w:hAnsi="Intrum Sans" w:cs="Arial"/>
          <w:color w:val="000000"/>
          <w:sz w:val="28"/>
          <w:szCs w:val="28"/>
          <w:shd w:val="clear" w:color="auto" w:fill="FFFFFF"/>
          <w:lang w:val="cs-CZ"/>
        </w:rPr>
        <w:t xml:space="preserve"> </w:t>
      </w:r>
      <w:proofErr w:type="spellStart"/>
      <w:r w:rsidRPr="00AD3FBA">
        <w:rPr>
          <w:rFonts w:ascii="Intrum Sans" w:hAnsi="Intrum Sans" w:cs="Arial"/>
          <w:color w:val="000000"/>
          <w:sz w:val="28"/>
          <w:szCs w:val="28"/>
          <w:shd w:val="clear" w:color="auto" w:fill="FFFFFF"/>
          <w:lang w:val="cs-CZ"/>
        </w:rPr>
        <w:t>Payment</w:t>
      </w:r>
      <w:proofErr w:type="spellEnd"/>
      <w:r w:rsidRPr="00AD3FBA">
        <w:rPr>
          <w:rFonts w:ascii="Intrum Sans" w:hAnsi="Intrum Sans" w:cs="Arial"/>
          <w:color w:val="000000"/>
          <w:sz w:val="28"/>
          <w:szCs w:val="28"/>
          <w:shd w:val="clear" w:color="auto" w:fill="FFFFFF"/>
          <w:lang w:val="cs-CZ"/>
        </w:rPr>
        <w:t xml:space="preserve"> Report zkoumá dopad opožděných plateb na evropské podniky. Evropské společnosti dnes čelí výzvám souvisejícím s rostoucí inflací, časovým tlakem způsobeným opožděnými platbami a pokusy vymanit se ze smyčky nevyřízených plateb.</w:t>
      </w:r>
    </w:p>
    <w:p w14:paraId="4100E2EE" w14:textId="5A0E9395" w:rsidR="007D2A05" w:rsidRPr="00AD3FBA" w:rsidRDefault="007D2A05" w:rsidP="00F5393E">
      <w:pPr>
        <w:jc w:val="both"/>
        <w:rPr>
          <w:rFonts w:ascii="Intrum Sans" w:hAnsi="Intrum Sans" w:cs="Arial"/>
          <w:color w:val="000000"/>
          <w:sz w:val="28"/>
          <w:szCs w:val="28"/>
          <w:shd w:val="clear" w:color="auto" w:fill="FFFFFF"/>
        </w:rPr>
      </w:pPr>
    </w:p>
    <w:p w14:paraId="25C0DD77" w14:textId="77777777" w:rsidR="007D2A05" w:rsidRPr="00AD3FBA" w:rsidRDefault="00000000" w:rsidP="00F5393E">
      <w:pPr>
        <w:shd w:val="clear" w:color="auto" w:fill="FFFFFF"/>
        <w:spacing w:after="450" w:line="420" w:lineRule="atLeast"/>
        <w:jc w:val="both"/>
        <w:rPr>
          <w:rFonts w:ascii="Intrum Sans" w:eastAsia="Times New Roman" w:hAnsi="Intrum Sans" w:cs="Arial"/>
          <w:color w:val="252525"/>
          <w:sz w:val="28"/>
          <w:szCs w:val="28"/>
          <w:lang w:val="cs-CZ" w:eastAsia="cs-CZ"/>
        </w:rPr>
      </w:pPr>
      <w:hyperlink r:id="rId12" w:tooltip="European Payment Report 2023" w:history="1">
        <w:r w:rsidR="007D2A05" w:rsidRPr="00AD3FBA">
          <w:rPr>
            <w:rFonts w:ascii="Intrum Sans" w:eastAsia="Times New Roman" w:hAnsi="Intrum Sans" w:cs="Arial"/>
            <w:sz w:val="28"/>
            <w:szCs w:val="28"/>
            <w:lang w:val="cs-CZ" w:eastAsia="cs-CZ"/>
          </w:rPr>
          <w:t>Zpráva společnosti Intrum o evropských platbách za rok 2023</w:t>
        </w:r>
      </w:hyperlink>
      <w:r w:rsidR="007D2A05" w:rsidRPr="00AD3FBA">
        <w:rPr>
          <w:rFonts w:ascii="Intrum Sans" w:eastAsia="Times New Roman" w:hAnsi="Intrum Sans" w:cs="Arial"/>
          <w:sz w:val="28"/>
          <w:szCs w:val="28"/>
          <w:lang w:val="cs-CZ" w:eastAsia="cs-CZ"/>
        </w:rPr>
        <w:t> </w:t>
      </w:r>
      <w:r w:rsidR="007D2A05" w:rsidRPr="00AD3FBA">
        <w:rPr>
          <w:rFonts w:ascii="Intrum Sans" w:eastAsia="Times New Roman" w:hAnsi="Intrum Sans" w:cs="Arial"/>
          <w:color w:val="252525"/>
          <w:sz w:val="28"/>
          <w:szCs w:val="28"/>
          <w:lang w:val="cs-CZ" w:eastAsia="cs-CZ"/>
        </w:rPr>
        <w:t>zkoumá dopad opožděných plateb na růst evropských podniků. Současné události mají významný dopad na ekonomiky v Evropě, což zase ovlivňuje finanční výsledky společností. Vzhledem k rostoucím cenám se společnosti potýkají s rostoucími obtížemi při vyjednávání spravedlivých platebních podmínek a uzavírání smluv se zákazníky, které budou přijatelné pro obě strany.</w:t>
      </w:r>
    </w:p>
    <w:p w14:paraId="719726F6" w14:textId="77777777" w:rsidR="007D2A05" w:rsidRPr="00C74722" w:rsidRDefault="007D2A05" w:rsidP="00BA264F">
      <w:pPr>
        <w:jc w:val="both"/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  <w:r w:rsidRPr="00C74722"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  <w:t>Vymáhání plateb po splatnosti: ztráta času</w:t>
      </w:r>
    </w:p>
    <w:p w14:paraId="5066DB24" w14:textId="77777777" w:rsidR="00BA264F" w:rsidRPr="00BA264F" w:rsidRDefault="00BA264F" w:rsidP="00BA264F">
      <w:pPr>
        <w:jc w:val="both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</w:p>
    <w:p w14:paraId="4EBEA640" w14:textId="1DC8B07D" w:rsidR="007D2A05" w:rsidRPr="00C74722" w:rsidRDefault="007D2A05" w:rsidP="00F5393E">
      <w:pPr>
        <w:shd w:val="clear" w:color="auto" w:fill="FFFFFF"/>
        <w:spacing w:after="450" w:line="420" w:lineRule="atLeast"/>
        <w:jc w:val="both"/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</w:pPr>
      <w:r w:rsidRPr="00C74722"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  <w:t>Čtvrt bilionu eur ročně. Tolik podle našeho nejnovějšího průzkumu vynakládají evropské podniky v průměru každý rok na zpětné získání opožděných plateb. To znamená, že průměrná společnost stráví  10</w:t>
      </w:r>
      <w:r w:rsidR="00E91253" w:rsidRPr="00C74722"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  <w:t>,5 hodin</w:t>
      </w:r>
      <w:r w:rsidRPr="00C74722"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  <w:t xml:space="preserve"> týdně kontaktováním zákazníků kvůli pozdním platbám, což odpovídá 74 dnům v roce.</w:t>
      </w:r>
    </w:p>
    <w:p w14:paraId="768D3AD8" w14:textId="1D88162A" w:rsidR="007D2A05" w:rsidRDefault="00CD6AFA" w:rsidP="00F5393E">
      <w:pPr>
        <w:jc w:val="both"/>
      </w:pPr>
      <w:r>
        <w:rPr>
          <w:noProof/>
        </w:rPr>
        <w:lastRenderedPageBreak/>
        <w:drawing>
          <wp:inline distT="0" distB="0" distL="0" distR="0" wp14:anchorId="08C6FC23" wp14:editId="1E579A01">
            <wp:extent cx="5676900" cy="3943350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BE90B7C-78A7-E57F-F312-A44D2AB06C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6587C13" w14:textId="1D94DAC6" w:rsidR="007D2A05" w:rsidRDefault="007D2A05" w:rsidP="00F5393E">
      <w:pPr>
        <w:jc w:val="both"/>
      </w:pPr>
    </w:p>
    <w:p w14:paraId="67B8ABE8" w14:textId="0F3E152F" w:rsidR="007D2A05" w:rsidRDefault="007D2A05" w:rsidP="00F5393E">
      <w:pPr>
        <w:jc w:val="both"/>
      </w:pPr>
    </w:p>
    <w:p w14:paraId="6BA9CE93" w14:textId="4A16A8BB" w:rsidR="007D2A05" w:rsidRDefault="007D2A05" w:rsidP="00F5393E">
      <w:pPr>
        <w:jc w:val="both"/>
      </w:pPr>
    </w:p>
    <w:p w14:paraId="606D83DF" w14:textId="61073F4E" w:rsidR="007D2A05" w:rsidRDefault="007D2A05" w:rsidP="008E34D9">
      <w:pPr>
        <w:jc w:val="both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  <w:r w:rsidRPr="00C74722"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  <w:t>Přijetí přísnějších opatření</w:t>
      </w:r>
    </w:p>
    <w:p w14:paraId="56518CD6" w14:textId="77777777" w:rsidR="008E34D9" w:rsidRPr="008E34D9" w:rsidRDefault="008E34D9" w:rsidP="008E34D9">
      <w:pPr>
        <w:jc w:val="both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</w:p>
    <w:p w14:paraId="6468E7D6" w14:textId="4664B2AE" w:rsidR="007D2A05" w:rsidRPr="00C74722" w:rsidRDefault="007D2A05" w:rsidP="00F5393E">
      <w:pPr>
        <w:shd w:val="clear" w:color="auto" w:fill="FFFFFF"/>
        <w:spacing w:after="450" w:line="420" w:lineRule="atLeast"/>
        <w:jc w:val="both"/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</w:pPr>
      <w:r w:rsidRPr="00C74722"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  <w:t>Právní a interní postupy vymáhání pohledávek jsou upřednostňovanými metodami zajištění plateb mezi společnostmi, které tráví méně času vymáháním plateb od zákazníků, kteří neplatí včas. Kromě toho je u těchto respondentů mnohem méně pravděpodobné, že se zapojí do mediačních řešení než u průměrného dotazovaného společnosti Intru</w:t>
      </w:r>
      <w:r w:rsidR="00C74722"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  <w:t>m</w:t>
      </w:r>
      <w:r w:rsidRPr="00C74722">
        <w:rPr>
          <w:rFonts w:asciiTheme="majorHAnsi" w:eastAsia="Times New Roman" w:hAnsiTheme="majorHAnsi" w:cs="Arial"/>
          <w:color w:val="252525"/>
          <w:sz w:val="30"/>
          <w:szCs w:val="30"/>
          <w:lang w:val="cs-CZ" w:eastAsia="cs-CZ"/>
        </w:rPr>
        <w:t>.</w:t>
      </w:r>
    </w:p>
    <w:p w14:paraId="2792F72D" w14:textId="77777777" w:rsidR="007D2A05" w:rsidRPr="00C74722" w:rsidRDefault="007D2A05" w:rsidP="008E34D9">
      <w:pPr>
        <w:jc w:val="both"/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  <w:r w:rsidRPr="00C74722"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  <w:t>Zvýšený zájem o evropskou směrnici o opožděných platbách</w:t>
      </w:r>
    </w:p>
    <w:p w14:paraId="787A05F8" w14:textId="77777777" w:rsidR="008E34D9" w:rsidRPr="008E34D9" w:rsidRDefault="008E34D9" w:rsidP="008E34D9">
      <w:pPr>
        <w:jc w:val="both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</w:p>
    <w:p w14:paraId="4C214B8B" w14:textId="77777777" w:rsidR="007D2A05" w:rsidRPr="00C74722" w:rsidRDefault="007D2A05" w:rsidP="00F5393E">
      <w:pPr>
        <w:shd w:val="clear" w:color="auto" w:fill="FFFFFF"/>
        <w:spacing w:after="450" w:line="420" w:lineRule="atLeast"/>
        <w:jc w:val="both"/>
        <w:rPr>
          <w:rFonts w:asciiTheme="majorHAnsi" w:eastAsia="Times New Roman" w:hAnsiTheme="majorHAnsi" w:cs="Arial"/>
          <w:color w:val="252525"/>
          <w:sz w:val="28"/>
          <w:szCs w:val="28"/>
          <w:lang w:val="cs-CZ" w:eastAsia="cs-CZ"/>
        </w:rPr>
      </w:pPr>
      <w:r w:rsidRPr="00C74722">
        <w:rPr>
          <w:rFonts w:asciiTheme="majorHAnsi" w:eastAsia="Times New Roman" w:hAnsiTheme="majorHAnsi" w:cs="Arial"/>
          <w:color w:val="252525"/>
          <w:sz w:val="28"/>
          <w:szCs w:val="28"/>
          <w:lang w:val="cs-CZ" w:eastAsia="cs-CZ"/>
        </w:rPr>
        <w:t xml:space="preserve">V letošním roce pozorujeme nárůst procenta respondentů – společností využívajících evropskou směrnici o opožděných platbách, která pomáhá v boji proti opožděným platbám. Více než 50 % respondentů se domnívá, že zaručená náhrada nebo úroky z prodlení by měly být vyšší, což naznačuje, že by se pravidla měla zlepšit. Pouze 10 % lidí se domnívá, že by Evropská unie </w:t>
      </w:r>
      <w:r w:rsidRPr="00C74722">
        <w:rPr>
          <w:rFonts w:asciiTheme="majorHAnsi" w:eastAsia="Times New Roman" w:hAnsiTheme="majorHAnsi" w:cs="Arial"/>
          <w:color w:val="252525"/>
          <w:sz w:val="28"/>
          <w:szCs w:val="28"/>
          <w:lang w:val="cs-CZ" w:eastAsia="cs-CZ"/>
        </w:rPr>
        <w:lastRenderedPageBreak/>
        <w:t>měla zavést pevné limity platebních lhůt, aby bylo snazší určit, kdy dochází k opožděným platbám.</w:t>
      </w:r>
    </w:p>
    <w:p w14:paraId="345BF74D" w14:textId="77777777" w:rsidR="007D2A05" w:rsidRDefault="007D2A05" w:rsidP="00F5393E">
      <w:pPr>
        <w:shd w:val="clear" w:color="auto" w:fill="FFFFFF"/>
        <w:spacing w:before="450" w:line="420" w:lineRule="atLeast"/>
        <w:jc w:val="both"/>
        <w:outlineLvl w:val="3"/>
        <w:rPr>
          <w:rFonts w:asciiTheme="majorHAnsi" w:eastAsia="Times New Roman" w:hAnsiTheme="majorHAnsi" w:cs="Arial"/>
          <w:color w:val="000000"/>
          <w:sz w:val="28"/>
          <w:szCs w:val="28"/>
          <w:lang w:val="cs-CZ" w:eastAsia="cs-CZ"/>
        </w:rPr>
      </w:pPr>
      <w:r w:rsidRPr="00C74722">
        <w:rPr>
          <w:rFonts w:asciiTheme="majorHAnsi" w:eastAsia="Times New Roman" w:hAnsiTheme="majorHAnsi" w:cs="Arial"/>
          <w:color w:val="000000"/>
          <w:sz w:val="28"/>
          <w:szCs w:val="28"/>
          <w:lang w:val="cs-CZ" w:eastAsia="cs-CZ"/>
        </w:rPr>
        <w:t>V důsledku zavedení směrnice EU o opožděných platbách má vaše společnost právo automaticky účtovat úrok z prodlení a minimálně 40 EUR jako náhradu nákladů spojených s vymáháním. Do jaké míry vaše společnost využívá této příležitosti?</w:t>
      </w:r>
    </w:p>
    <w:p w14:paraId="28999D8C" w14:textId="6AB1BC76" w:rsidR="008333F9" w:rsidRPr="00C74722" w:rsidRDefault="008333F9" w:rsidP="00F5393E">
      <w:pPr>
        <w:shd w:val="clear" w:color="auto" w:fill="FFFFFF"/>
        <w:spacing w:before="450" w:line="420" w:lineRule="atLeast"/>
        <w:jc w:val="both"/>
        <w:outlineLvl w:val="3"/>
        <w:rPr>
          <w:rFonts w:asciiTheme="majorHAnsi" w:eastAsia="Times New Roman" w:hAnsiTheme="majorHAnsi" w:cs="Arial"/>
          <w:color w:val="000000"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3F97FA52" wp14:editId="5EE8D337">
            <wp:extent cx="5760720" cy="3352800"/>
            <wp:effectExtent l="0" t="0" r="11430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3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F6A8AFD" w14:textId="7BE1D95D" w:rsidR="007D2A05" w:rsidRDefault="007D2A05" w:rsidP="00F5393E">
      <w:pPr>
        <w:jc w:val="both"/>
      </w:pPr>
    </w:p>
    <w:p w14:paraId="33533463" w14:textId="1A0D8558" w:rsidR="007D2A05" w:rsidRDefault="007D2A05" w:rsidP="00F5393E">
      <w:pPr>
        <w:jc w:val="both"/>
      </w:pPr>
    </w:p>
    <w:p w14:paraId="722B977D" w14:textId="0D5F7DBD" w:rsidR="007D2A05" w:rsidRDefault="007D2A05" w:rsidP="00F5393E">
      <w:pPr>
        <w:jc w:val="both"/>
      </w:pPr>
    </w:p>
    <w:p w14:paraId="1749DB3E" w14:textId="076C9E03" w:rsidR="007D2A05" w:rsidRDefault="007D2A05" w:rsidP="00F5393E">
      <w:pPr>
        <w:jc w:val="both"/>
      </w:pPr>
    </w:p>
    <w:p w14:paraId="564595C1" w14:textId="77777777" w:rsidR="007D2A05" w:rsidRPr="00C74722" w:rsidRDefault="007D2A05" w:rsidP="008E34D9">
      <w:pPr>
        <w:jc w:val="both"/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  <w:r w:rsidRPr="00C74722">
        <w:rPr>
          <w:rFonts w:ascii="Intrum Sans Medium" w:hAnsi="Intrum Sans Medium" w:cs="Arial"/>
          <w:b/>
          <w:bCs/>
          <w:color w:val="000000"/>
          <w:sz w:val="36"/>
          <w:szCs w:val="36"/>
          <w:shd w:val="clear" w:color="auto" w:fill="FFFFFF"/>
          <w:lang w:val="cs-CZ"/>
        </w:rPr>
        <w:t>Závěry "Evropské zprávy o platbách za rok 2023"</w:t>
      </w:r>
    </w:p>
    <w:p w14:paraId="5C522D75" w14:textId="77777777" w:rsidR="00BB275E" w:rsidRPr="008E34D9" w:rsidRDefault="00BB275E" w:rsidP="008E34D9">
      <w:pPr>
        <w:jc w:val="both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  <w:lang w:val="cs-CZ"/>
        </w:rPr>
      </w:pPr>
    </w:p>
    <w:p w14:paraId="468EDFFC" w14:textId="5A843730" w:rsidR="007D2A05" w:rsidRPr="00C74722" w:rsidRDefault="007D2A05" w:rsidP="00F5393E">
      <w:pPr>
        <w:shd w:val="clear" w:color="auto" w:fill="FFFFFF"/>
        <w:spacing w:after="450" w:line="420" w:lineRule="atLeast"/>
        <w:jc w:val="both"/>
        <w:rPr>
          <w:rFonts w:asciiTheme="majorHAnsi" w:eastAsia="Times New Roman" w:hAnsiTheme="majorHAnsi" w:cs="Arial"/>
          <w:color w:val="252525"/>
          <w:sz w:val="28"/>
          <w:szCs w:val="28"/>
          <w:lang w:val="cs-CZ" w:eastAsia="cs-CZ"/>
        </w:rPr>
      </w:pPr>
      <w:r w:rsidRPr="00C74722">
        <w:rPr>
          <w:rFonts w:asciiTheme="majorHAnsi" w:eastAsia="Times New Roman" w:hAnsiTheme="majorHAnsi" w:cs="Arial"/>
          <w:color w:val="252525"/>
          <w:sz w:val="28"/>
          <w:szCs w:val="28"/>
          <w:lang w:val="cs-CZ" w:eastAsia="cs-CZ"/>
        </w:rPr>
        <w:t>Stáhněte si celou zprávu, abyste pochopili dopad opožděných plateb na evropské podniky. Publikace také poskytuje důležitou analýzu toho, jak inflace zasahuje příjmy a růst podniků v Evropě a jak se společnosti musí naučit prolomit začarovaný kruh opožděných plateb. Zprávu EPR 2023, obsahující shrnutí finanční situace společností v různých evropských zemích lze získat kliknutím na níže uvedený odkaz.</w:t>
      </w:r>
    </w:p>
    <w:p w14:paraId="6CF68D50" w14:textId="77777777" w:rsidR="007D2A05" w:rsidRPr="00BA264F" w:rsidRDefault="007D2A05" w:rsidP="005C1D81">
      <w:pPr>
        <w:rPr>
          <w:lang w:val="cs-CZ"/>
        </w:rPr>
      </w:pPr>
    </w:p>
    <w:sectPr w:rsidR="007D2A05" w:rsidRPr="00BA264F" w:rsidSect="0063570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7" w:right="1417" w:bottom="1417" w:left="1417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25890" w14:textId="77777777" w:rsidR="00DD26AD" w:rsidRDefault="00DD26AD" w:rsidP="00884E47">
      <w:pPr>
        <w:spacing w:line="240" w:lineRule="auto"/>
      </w:pPr>
      <w:r>
        <w:separator/>
      </w:r>
    </w:p>
  </w:endnote>
  <w:endnote w:type="continuationSeparator" w:id="0">
    <w:p w14:paraId="0974B29D" w14:textId="77777777" w:rsidR="00DD26AD" w:rsidRDefault="00DD26AD" w:rsidP="00884E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rum Sans">
    <w:panose1 w:val="000005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ntrum Sans Medium">
    <w:altName w:val="Calibri"/>
    <w:panose1 w:val="000006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D6D61" w14:textId="77777777" w:rsidR="008333F9" w:rsidRDefault="008333F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8E59F" w14:textId="77777777" w:rsidR="008333F9" w:rsidRDefault="008333F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2221A" w14:textId="77777777" w:rsidR="008333F9" w:rsidRDefault="008333F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AABCF" w14:textId="77777777" w:rsidR="00DD26AD" w:rsidRDefault="00DD26AD" w:rsidP="00884E47">
      <w:pPr>
        <w:spacing w:line="240" w:lineRule="auto"/>
      </w:pPr>
      <w:r>
        <w:separator/>
      </w:r>
    </w:p>
  </w:footnote>
  <w:footnote w:type="continuationSeparator" w:id="0">
    <w:p w14:paraId="1A22CA2C" w14:textId="77777777" w:rsidR="00DD26AD" w:rsidRDefault="00DD26AD" w:rsidP="00884E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FC05" w14:textId="77777777" w:rsidR="008333F9" w:rsidRDefault="008333F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D21FF" w14:textId="77777777" w:rsidR="008333F9" w:rsidRDefault="008333F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2B60A" w14:textId="77777777" w:rsidR="008333F9" w:rsidRDefault="008333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7.25pt;height:17.25pt;visibility:visible;mso-wrap-style:square" o:bullet="t">
        <v:imagedata r:id="rId1" o:title=""/>
      </v:shape>
    </w:pict>
  </w:numPicBullet>
  <w:numPicBullet w:numPicBulletId="1">
    <w:pict>
      <v:shape id="_x0000_i1081" type="#_x0000_t75" style="width:17.25pt;height:17.25pt;visibility:visible;mso-wrap-style:square" o:bullet="t">
        <v:imagedata r:id="rId2" o:title=""/>
      </v:shape>
    </w:pict>
  </w:numPicBullet>
  <w:numPicBullet w:numPicBulletId="2">
    <w:pict>
      <v:shape id="_x0000_i1082" type="#_x0000_t75" style="width:17.25pt;height:17.2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1D6AD0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44DE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748C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2142F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5EB8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0C1B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A828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F62D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4FB1581"/>
    <w:multiLevelType w:val="multilevel"/>
    <w:tmpl w:val="AD562E58"/>
    <w:lvl w:ilvl="0">
      <w:start w:val="1"/>
      <w:numFmt w:val="bullet"/>
      <w:pStyle w:val="Seznamsodrkami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Seznamsodrkami2"/>
      <w:lvlText w:val="─"/>
      <w:lvlJc w:val="left"/>
      <w:pPr>
        <w:tabs>
          <w:tab w:val="num" w:pos="1004"/>
        </w:tabs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Seznamsodrkami3"/>
      <w:lvlText w:val=""/>
      <w:lvlJc w:val="left"/>
      <w:pPr>
        <w:tabs>
          <w:tab w:val="num" w:pos="1288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Seznamsodrkami4"/>
      <w:lvlText w:val="─"/>
      <w:lvlJc w:val="left"/>
      <w:pPr>
        <w:tabs>
          <w:tab w:val="num" w:pos="1572"/>
        </w:tabs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pStyle w:val="Seznamsodrkami5"/>
      <w:lvlText w:val=""/>
      <w:lvlJc w:val="left"/>
      <w:pPr>
        <w:tabs>
          <w:tab w:val="num" w:pos="1856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2140"/>
        </w:tabs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2424"/>
        </w:tabs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2708"/>
        </w:tabs>
        <w:ind w:left="2272" w:hanging="284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2992"/>
        </w:tabs>
        <w:ind w:left="2556" w:hanging="284"/>
      </w:pPr>
      <w:rPr>
        <w:rFonts w:ascii="Symbol" w:hAnsi="Symbol" w:hint="default"/>
        <w:color w:val="auto"/>
      </w:rPr>
    </w:lvl>
  </w:abstractNum>
  <w:abstractNum w:abstractNumId="9" w15:restartNumberingAfterBreak="0">
    <w:nsid w:val="17071BBC"/>
    <w:multiLevelType w:val="multilevel"/>
    <w:tmpl w:val="9FACF29E"/>
    <w:name w:val="Intrum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92"/>
        </w:tabs>
        <w:ind w:left="1792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7EE43D5"/>
    <w:multiLevelType w:val="multilevel"/>
    <w:tmpl w:val="0C4069DA"/>
    <w:lvl w:ilvl="0">
      <w:start w:val="1"/>
      <w:numFmt w:val="bullet"/>
      <w:lvlText w:val="−"/>
      <w:lvlJc w:val="left"/>
      <w:pPr>
        <w:tabs>
          <w:tab w:val="num" w:pos="357"/>
        </w:tabs>
        <w:ind w:left="360" w:hanging="3"/>
      </w:pPr>
      <w:rPr>
        <w:rFonts w:ascii="Calibri" w:hAnsi="Calibri" w:hint="default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0AA525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806E96"/>
    <w:multiLevelType w:val="hybridMultilevel"/>
    <w:tmpl w:val="612E7E96"/>
    <w:lvl w:ilvl="0" w:tplc="CEE857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86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6828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6B4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00D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580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C010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441D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6E76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7227ED7"/>
    <w:multiLevelType w:val="hybridMultilevel"/>
    <w:tmpl w:val="F612D62E"/>
    <w:lvl w:ilvl="0" w:tplc="50729B96">
      <w:start w:val="1"/>
      <w:numFmt w:val="bullet"/>
      <w:lvlText w:val=""/>
      <w:lvlJc w:val="left"/>
      <w:pPr>
        <w:tabs>
          <w:tab w:val="num" w:pos="1635"/>
        </w:tabs>
        <w:ind w:left="1635" w:hanging="360"/>
      </w:pPr>
      <w:rPr>
        <w:rFonts w:ascii="Symbol" w:hAnsi="Symbol" w:hint="default"/>
        <w:color w:val="FF6699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43F95E9C"/>
    <w:multiLevelType w:val="multilevel"/>
    <w:tmpl w:val="C4963ECA"/>
    <w:lvl w:ilvl="0">
      <w:start w:val="1"/>
      <w:numFmt w:val="decimal"/>
      <w:pStyle w:val="Numbered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ed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ed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umbered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5" w15:restartNumberingAfterBreak="0">
    <w:nsid w:val="4DC70D7F"/>
    <w:multiLevelType w:val="hybridMultilevel"/>
    <w:tmpl w:val="C1E633DC"/>
    <w:lvl w:ilvl="0" w:tplc="DFCAFB38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color w:val="FF3399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4F1510FD"/>
    <w:multiLevelType w:val="hybridMultilevel"/>
    <w:tmpl w:val="DDE2C102"/>
    <w:lvl w:ilvl="0" w:tplc="0B10B69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020DDD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02278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E086C6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432B48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8F299B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5BEB90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A16152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B9C81D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566F2E6D"/>
    <w:multiLevelType w:val="multilevel"/>
    <w:tmpl w:val="D71CD27C"/>
    <w:lvl w:ilvl="0">
      <w:start w:val="1"/>
      <w:numFmt w:val="bullet"/>
      <w:lvlText w:val="−"/>
      <w:lvlJc w:val="left"/>
      <w:pPr>
        <w:ind w:left="357" w:firstLine="0"/>
      </w:pPr>
      <w:rPr>
        <w:rFonts w:ascii="Calibri" w:hAnsi="Calibri" w:hint="default"/>
        <w:color w:val="auto"/>
      </w:rPr>
    </w:lvl>
    <w:lvl w:ilvl="1">
      <w:start w:val="1"/>
      <w:numFmt w:val="bullet"/>
      <w:lvlText w:val="−"/>
      <w:lvlJc w:val="left"/>
      <w:pPr>
        <w:ind w:left="714" w:firstLine="0"/>
      </w:pPr>
      <w:rPr>
        <w:rFonts w:ascii="Calibri" w:hAnsi="Calibri" w:hint="default"/>
        <w:color w:val="auto"/>
      </w:rPr>
    </w:lvl>
    <w:lvl w:ilvl="2">
      <w:start w:val="1"/>
      <w:numFmt w:val="bullet"/>
      <w:lvlText w:val="−"/>
      <w:lvlJc w:val="left"/>
      <w:pPr>
        <w:ind w:left="1071" w:firstLine="0"/>
      </w:pPr>
      <w:rPr>
        <w:rFonts w:ascii="Calibri" w:hAnsi="Calibri" w:hint="default"/>
        <w:color w:val="auto"/>
      </w:rPr>
    </w:lvl>
    <w:lvl w:ilvl="3">
      <w:start w:val="1"/>
      <w:numFmt w:val="bullet"/>
      <w:lvlText w:val="−"/>
      <w:lvlJc w:val="left"/>
      <w:pPr>
        <w:ind w:left="1428" w:firstLine="0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1785" w:firstLine="0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2142" w:firstLine="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499" w:firstLine="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56" w:firstLine="0"/>
      </w:pPr>
      <w:rPr>
        <w:rFonts w:ascii="Calibri" w:hAnsi="Calibri" w:hint="default"/>
        <w:color w:val="auto"/>
      </w:rPr>
    </w:lvl>
    <w:lvl w:ilvl="8">
      <w:start w:val="1"/>
      <w:numFmt w:val="bullet"/>
      <w:lvlText w:val="»"/>
      <w:lvlJc w:val="left"/>
      <w:pPr>
        <w:ind w:left="3213" w:firstLine="0"/>
      </w:pPr>
      <w:rPr>
        <w:rFonts w:ascii="Calibri" w:hAnsi="Calibri" w:hint="default"/>
        <w:color w:val="auto"/>
      </w:rPr>
    </w:lvl>
  </w:abstractNum>
  <w:abstractNum w:abstractNumId="18" w15:restartNumberingAfterBreak="0">
    <w:nsid w:val="6BA910FA"/>
    <w:multiLevelType w:val="hybridMultilevel"/>
    <w:tmpl w:val="0FBAB2AA"/>
    <w:lvl w:ilvl="0" w:tplc="28384CFE">
      <w:start w:val="1"/>
      <w:numFmt w:val="bullet"/>
      <w:lvlText w:val=""/>
      <w:lvlPicBulletId w:val="1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ED6A8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42E8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06F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6447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FC37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E838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27C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7EFC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E2E1A7F"/>
    <w:multiLevelType w:val="multilevel"/>
    <w:tmpl w:val="21E6BBF6"/>
    <w:lvl w:ilvl="0">
      <w:start w:val="1"/>
      <w:numFmt w:val="lowerLetter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pStyle w:val="slovanseznam3"/>
      <w:lvlText w:val="%3."/>
      <w:lvlJc w:val="left"/>
      <w:pPr>
        <w:ind w:left="714" w:hanging="357"/>
      </w:pPr>
      <w:rPr>
        <w:rFonts w:hint="default"/>
      </w:rPr>
    </w:lvl>
    <w:lvl w:ilvl="3">
      <w:start w:val="1"/>
      <w:numFmt w:val="none"/>
      <w:pStyle w:val="slovanseznam4"/>
      <w:lvlText w:val="i."/>
      <w:lvlJc w:val="left"/>
      <w:pPr>
        <w:ind w:left="1072" w:hanging="358"/>
      </w:pPr>
      <w:rPr>
        <w:rFonts w:hint="default"/>
      </w:rPr>
    </w:lvl>
    <w:lvl w:ilvl="4">
      <w:start w:val="1"/>
      <w:numFmt w:val="none"/>
      <w:pStyle w:val="slovanseznam5"/>
      <w:lvlText w:val="1."/>
      <w:lvlJc w:val="left"/>
      <w:pPr>
        <w:ind w:left="1429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0" w15:restartNumberingAfterBreak="0">
    <w:nsid w:val="73C52E64"/>
    <w:multiLevelType w:val="multilevel"/>
    <w:tmpl w:val="8FA887F8"/>
    <w:name w:val="Intrum"/>
    <w:lvl w:ilvl="0">
      <w:start w:val="1"/>
      <w:numFmt w:val="bullet"/>
      <w:lvlText w:val="−"/>
      <w:lvlJc w:val="left"/>
      <w:pPr>
        <w:tabs>
          <w:tab w:val="num" w:pos="357"/>
        </w:tabs>
        <w:ind w:left="357" w:firstLine="0"/>
      </w:pPr>
      <w:rPr>
        <w:rFonts w:ascii="Calibri" w:hAnsi="Calibri" w:hint="default"/>
        <w:color w:val="auto"/>
      </w:rPr>
    </w:lvl>
    <w:lvl w:ilvl="1">
      <w:start w:val="1"/>
      <w:numFmt w:val="bullet"/>
      <w:lvlText w:val="−"/>
      <w:lvlJc w:val="left"/>
      <w:pPr>
        <w:ind w:left="714" w:firstLine="0"/>
      </w:pPr>
      <w:rPr>
        <w:rFonts w:ascii="Calibri" w:hAnsi="Calibri" w:hint="default"/>
        <w:color w:val="auto"/>
      </w:rPr>
    </w:lvl>
    <w:lvl w:ilvl="2">
      <w:start w:val="1"/>
      <w:numFmt w:val="bullet"/>
      <w:lvlText w:val="−"/>
      <w:lvlJc w:val="left"/>
      <w:pPr>
        <w:ind w:left="1071" w:firstLine="0"/>
      </w:pPr>
      <w:rPr>
        <w:rFonts w:ascii="Calibri" w:hAnsi="Calibri" w:hint="default"/>
        <w:color w:val="auto"/>
      </w:rPr>
    </w:lvl>
    <w:lvl w:ilvl="3">
      <w:start w:val="1"/>
      <w:numFmt w:val="bullet"/>
      <w:lvlText w:val="−"/>
      <w:lvlJc w:val="left"/>
      <w:pPr>
        <w:ind w:left="1428" w:firstLine="0"/>
      </w:pPr>
      <w:rPr>
        <w:rFonts w:ascii="Calibri" w:hAnsi="Calibri" w:hint="default"/>
        <w:color w:val="auto"/>
      </w:rPr>
    </w:lvl>
    <w:lvl w:ilvl="4">
      <w:start w:val="1"/>
      <w:numFmt w:val="bullet"/>
      <w:lvlText w:val="−"/>
      <w:lvlJc w:val="left"/>
      <w:pPr>
        <w:ind w:left="1785" w:firstLine="0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2142" w:firstLine="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499" w:firstLine="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56" w:firstLine="0"/>
      </w:pPr>
      <w:rPr>
        <w:rFonts w:ascii="Calibri" w:hAnsi="Calibri" w:hint="default"/>
        <w:color w:val="auto"/>
      </w:rPr>
    </w:lvl>
    <w:lvl w:ilvl="8">
      <w:start w:val="1"/>
      <w:numFmt w:val="bullet"/>
      <w:lvlText w:val="»"/>
      <w:lvlJc w:val="left"/>
      <w:pPr>
        <w:ind w:left="3213" w:firstLine="0"/>
      </w:pPr>
      <w:rPr>
        <w:rFonts w:ascii="Calibri" w:hAnsi="Calibri" w:hint="default"/>
        <w:color w:val="auto"/>
      </w:rPr>
    </w:lvl>
  </w:abstractNum>
  <w:num w:numId="1" w16cid:durableId="314847188">
    <w:abstractNumId w:val="17"/>
  </w:num>
  <w:num w:numId="2" w16cid:durableId="935288889">
    <w:abstractNumId w:val="7"/>
  </w:num>
  <w:num w:numId="3" w16cid:durableId="1100954988">
    <w:abstractNumId w:val="6"/>
  </w:num>
  <w:num w:numId="4" w16cid:durableId="800222324">
    <w:abstractNumId w:val="5"/>
  </w:num>
  <w:num w:numId="5" w16cid:durableId="1721051615">
    <w:abstractNumId w:val="4"/>
  </w:num>
  <w:num w:numId="6" w16cid:durableId="422800294">
    <w:abstractNumId w:val="9"/>
  </w:num>
  <w:num w:numId="7" w16cid:durableId="27805553">
    <w:abstractNumId w:val="3"/>
  </w:num>
  <w:num w:numId="8" w16cid:durableId="1955601179">
    <w:abstractNumId w:val="2"/>
  </w:num>
  <w:num w:numId="9" w16cid:durableId="2086996101">
    <w:abstractNumId w:val="1"/>
  </w:num>
  <w:num w:numId="10" w16cid:durableId="1124235456">
    <w:abstractNumId w:val="0"/>
  </w:num>
  <w:num w:numId="11" w16cid:durableId="4180595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63414021">
    <w:abstractNumId w:val="14"/>
  </w:num>
  <w:num w:numId="13" w16cid:durableId="544954671">
    <w:abstractNumId w:val="20"/>
  </w:num>
  <w:num w:numId="14" w16cid:durableId="1487091685">
    <w:abstractNumId w:val="7"/>
  </w:num>
  <w:num w:numId="15" w16cid:durableId="2099598441">
    <w:abstractNumId w:val="6"/>
  </w:num>
  <w:num w:numId="16" w16cid:durableId="685835633">
    <w:abstractNumId w:val="5"/>
  </w:num>
  <w:num w:numId="17" w16cid:durableId="2033922029">
    <w:abstractNumId w:val="4"/>
  </w:num>
  <w:num w:numId="18" w16cid:durableId="10272927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02799218">
    <w:abstractNumId w:val="8"/>
  </w:num>
  <w:num w:numId="20" w16cid:durableId="1994478796">
    <w:abstractNumId w:val="8"/>
  </w:num>
  <w:num w:numId="21" w16cid:durableId="1733459652">
    <w:abstractNumId w:val="8"/>
  </w:num>
  <w:num w:numId="22" w16cid:durableId="597907400">
    <w:abstractNumId w:val="8"/>
  </w:num>
  <w:num w:numId="23" w16cid:durableId="370038669">
    <w:abstractNumId w:val="8"/>
  </w:num>
  <w:num w:numId="24" w16cid:durableId="1176115329">
    <w:abstractNumId w:val="10"/>
  </w:num>
  <w:num w:numId="25" w16cid:durableId="194003711">
    <w:abstractNumId w:val="11"/>
  </w:num>
  <w:num w:numId="26" w16cid:durableId="184447922">
    <w:abstractNumId w:val="19"/>
  </w:num>
  <w:num w:numId="27" w16cid:durableId="1286959395">
    <w:abstractNumId w:val="19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01557206">
    <w:abstractNumId w:val="19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61312219">
    <w:abstractNumId w:val="12"/>
  </w:num>
  <w:num w:numId="30" w16cid:durableId="1018775417">
    <w:abstractNumId w:val="18"/>
  </w:num>
  <w:num w:numId="31" w16cid:durableId="692848895">
    <w:abstractNumId w:val="15"/>
  </w:num>
  <w:num w:numId="32" w16cid:durableId="934633692">
    <w:abstractNumId w:val="13"/>
  </w:num>
  <w:num w:numId="33" w16cid:durableId="35411420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A05"/>
    <w:rsid w:val="000003EE"/>
    <w:rsid w:val="00014B15"/>
    <w:rsid w:val="00017349"/>
    <w:rsid w:val="00025377"/>
    <w:rsid w:val="0004043D"/>
    <w:rsid w:val="00041981"/>
    <w:rsid w:val="00046322"/>
    <w:rsid w:val="00072490"/>
    <w:rsid w:val="00073D22"/>
    <w:rsid w:val="00083E2D"/>
    <w:rsid w:val="00087DE9"/>
    <w:rsid w:val="00097F7F"/>
    <w:rsid w:val="000A0086"/>
    <w:rsid w:val="000D11B5"/>
    <w:rsid w:val="000D4114"/>
    <w:rsid w:val="000D6E90"/>
    <w:rsid w:val="000F2693"/>
    <w:rsid w:val="00101495"/>
    <w:rsid w:val="001062DE"/>
    <w:rsid w:val="001121A0"/>
    <w:rsid w:val="0012385A"/>
    <w:rsid w:val="00130001"/>
    <w:rsid w:val="00130A8D"/>
    <w:rsid w:val="00136703"/>
    <w:rsid w:val="00140334"/>
    <w:rsid w:val="001600E3"/>
    <w:rsid w:val="00160B5F"/>
    <w:rsid w:val="001A5283"/>
    <w:rsid w:val="001B01DF"/>
    <w:rsid w:val="001B16AB"/>
    <w:rsid w:val="001C2C12"/>
    <w:rsid w:val="001D06F5"/>
    <w:rsid w:val="001D4B24"/>
    <w:rsid w:val="001E2382"/>
    <w:rsid w:val="0020258D"/>
    <w:rsid w:val="002127B7"/>
    <w:rsid w:val="00223177"/>
    <w:rsid w:val="0022439B"/>
    <w:rsid w:val="0022718D"/>
    <w:rsid w:val="002406CE"/>
    <w:rsid w:val="002522E3"/>
    <w:rsid w:val="002C1B76"/>
    <w:rsid w:val="002C215C"/>
    <w:rsid w:val="002C76E1"/>
    <w:rsid w:val="002D0A18"/>
    <w:rsid w:val="002D3E40"/>
    <w:rsid w:val="002D3EC7"/>
    <w:rsid w:val="002D74F1"/>
    <w:rsid w:val="002F0C2F"/>
    <w:rsid w:val="0032164E"/>
    <w:rsid w:val="00331292"/>
    <w:rsid w:val="0034045B"/>
    <w:rsid w:val="00340957"/>
    <w:rsid w:val="00346C24"/>
    <w:rsid w:val="00373D61"/>
    <w:rsid w:val="00387140"/>
    <w:rsid w:val="003A5772"/>
    <w:rsid w:val="003A59F1"/>
    <w:rsid w:val="003A6DC5"/>
    <w:rsid w:val="003A74BB"/>
    <w:rsid w:val="003B1C0E"/>
    <w:rsid w:val="003C7C8E"/>
    <w:rsid w:val="003E2580"/>
    <w:rsid w:val="003F52B0"/>
    <w:rsid w:val="003F586F"/>
    <w:rsid w:val="00400AD7"/>
    <w:rsid w:val="004055E7"/>
    <w:rsid w:val="0041319B"/>
    <w:rsid w:val="00417C4A"/>
    <w:rsid w:val="00432131"/>
    <w:rsid w:val="00436270"/>
    <w:rsid w:val="00437E49"/>
    <w:rsid w:val="004458C4"/>
    <w:rsid w:val="00457F4A"/>
    <w:rsid w:val="004A4F4E"/>
    <w:rsid w:val="004A5303"/>
    <w:rsid w:val="004A5D05"/>
    <w:rsid w:val="004B03CF"/>
    <w:rsid w:val="004B47E7"/>
    <w:rsid w:val="004D4ECC"/>
    <w:rsid w:val="004E58E7"/>
    <w:rsid w:val="004E68A5"/>
    <w:rsid w:val="004F2B58"/>
    <w:rsid w:val="004F2BC9"/>
    <w:rsid w:val="0051198B"/>
    <w:rsid w:val="00512DFA"/>
    <w:rsid w:val="00526591"/>
    <w:rsid w:val="0053230D"/>
    <w:rsid w:val="00545521"/>
    <w:rsid w:val="005A5144"/>
    <w:rsid w:val="005C1312"/>
    <w:rsid w:val="005C1D81"/>
    <w:rsid w:val="005E0ED8"/>
    <w:rsid w:val="005E4242"/>
    <w:rsid w:val="005F6935"/>
    <w:rsid w:val="00601588"/>
    <w:rsid w:val="00612F63"/>
    <w:rsid w:val="006134D4"/>
    <w:rsid w:val="0063570F"/>
    <w:rsid w:val="00641524"/>
    <w:rsid w:val="00647138"/>
    <w:rsid w:val="00652AB1"/>
    <w:rsid w:val="00665C7F"/>
    <w:rsid w:val="006B4A76"/>
    <w:rsid w:val="006D3C64"/>
    <w:rsid w:val="006D5020"/>
    <w:rsid w:val="006F1C6C"/>
    <w:rsid w:val="006F20C5"/>
    <w:rsid w:val="006F2E93"/>
    <w:rsid w:val="006F607E"/>
    <w:rsid w:val="0070433C"/>
    <w:rsid w:val="007062C8"/>
    <w:rsid w:val="00715348"/>
    <w:rsid w:val="00723500"/>
    <w:rsid w:val="007274A8"/>
    <w:rsid w:val="007331F1"/>
    <w:rsid w:val="0074788E"/>
    <w:rsid w:val="00751DE0"/>
    <w:rsid w:val="007639F7"/>
    <w:rsid w:val="00773063"/>
    <w:rsid w:val="007765E5"/>
    <w:rsid w:val="0078400F"/>
    <w:rsid w:val="0079285B"/>
    <w:rsid w:val="00796268"/>
    <w:rsid w:val="007A0B53"/>
    <w:rsid w:val="007A77E7"/>
    <w:rsid w:val="007C13A7"/>
    <w:rsid w:val="007D2A05"/>
    <w:rsid w:val="007E20C6"/>
    <w:rsid w:val="007E7AC8"/>
    <w:rsid w:val="007F1821"/>
    <w:rsid w:val="007F62A3"/>
    <w:rsid w:val="007F7F1B"/>
    <w:rsid w:val="0081610B"/>
    <w:rsid w:val="008333F9"/>
    <w:rsid w:val="008365AA"/>
    <w:rsid w:val="008555A7"/>
    <w:rsid w:val="00874CBE"/>
    <w:rsid w:val="008769C5"/>
    <w:rsid w:val="00884E47"/>
    <w:rsid w:val="0089098E"/>
    <w:rsid w:val="00892F53"/>
    <w:rsid w:val="0089592B"/>
    <w:rsid w:val="008D5747"/>
    <w:rsid w:val="008E34D9"/>
    <w:rsid w:val="008E4CFA"/>
    <w:rsid w:val="008E6528"/>
    <w:rsid w:val="008E716E"/>
    <w:rsid w:val="00900260"/>
    <w:rsid w:val="00912D45"/>
    <w:rsid w:val="009173FE"/>
    <w:rsid w:val="00930317"/>
    <w:rsid w:val="00930A55"/>
    <w:rsid w:val="009427E5"/>
    <w:rsid w:val="009507DE"/>
    <w:rsid w:val="00955510"/>
    <w:rsid w:val="00955A5C"/>
    <w:rsid w:val="0097391A"/>
    <w:rsid w:val="00973C93"/>
    <w:rsid w:val="00976E60"/>
    <w:rsid w:val="009B1B65"/>
    <w:rsid w:val="009B2188"/>
    <w:rsid w:val="009B2244"/>
    <w:rsid w:val="009C0860"/>
    <w:rsid w:val="009C6FDB"/>
    <w:rsid w:val="00A02C29"/>
    <w:rsid w:val="00A04477"/>
    <w:rsid w:val="00A16716"/>
    <w:rsid w:val="00A22CE1"/>
    <w:rsid w:val="00A3733C"/>
    <w:rsid w:val="00A37520"/>
    <w:rsid w:val="00A52B18"/>
    <w:rsid w:val="00A66049"/>
    <w:rsid w:val="00A73893"/>
    <w:rsid w:val="00A93614"/>
    <w:rsid w:val="00AA5A9D"/>
    <w:rsid w:val="00AB7E0E"/>
    <w:rsid w:val="00AC00A5"/>
    <w:rsid w:val="00AC35D4"/>
    <w:rsid w:val="00AD3FBA"/>
    <w:rsid w:val="00AF12A3"/>
    <w:rsid w:val="00B02214"/>
    <w:rsid w:val="00B063E8"/>
    <w:rsid w:val="00B06971"/>
    <w:rsid w:val="00B2199C"/>
    <w:rsid w:val="00B233DA"/>
    <w:rsid w:val="00B25B04"/>
    <w:rsid w:val="00B304A0"/>
    <w:rsid w:val="00B43373"/>
    <w:rsid w:val="00B52803"/>
    <w:rsid w:val="00B56FB4"/>
    <w:rsid w:val="00B570EF"/>
    <w:rsid w:val="00B65B88"/>
    <w:rsid w:val="00B82940"/>
    <w:rsid w:val="00B84B7E"/>
    <w:rsid w:val="00BA264F"/>
    <w:rsid w:val="00BB275E"/>
    <w:rsid w:val="00BC0FB9"/>
    <w:rsid w:val="00BC4211"/>
    <w:rsid w:val="00BE5DA9"/>
    <w:rsid w:val="00BF67C0"/>
    <w:rsid w:val="00C26B42"/>
    <w:rsid w:val="00C43500"/>
    <w:rsid w:val="00C4488F"/>
    <w:rsid w:val="00C74722"/>
    <w:rsid w:val="00C76459"/>
    <w:rsid w:val="00C9730F"/>
    <w:rsid w:val="00CA1CC5"/>
    <w:rsid w:val="00CC5206"/>
    <w:rsid w:val="00CD6AFA"/>
    <w:rsid w:val="00CD77F7"/>
    <w:rsid w:val="00CF4D4B"/>
    <w:rsid w:val="00D00912"/>
    <w:rsid w:val="00D017E1"/>
    <w:rsid w:val="00D21AFB"/>
    <w:rsid w:val="00D34EE4"/>
    <w:rsid w:val="00D47EE6"/>
    <w:rsid w:val="00D709A5"/>
    <w:rsid w:val="00D85D7B"/>
    <w:rsid w:val="00D86E66"/>
    <w:rsid w:val="00D86EF2"/>
    <w:rsid w:val="00D95366"/>
    <w:rsid w:val="00DA7B63"/>
    <w:rsid w:val="00DB6006"/>
    <w:rsid w:val="00DC2CBD"/>
    <w:rsid w:val="00DD26AD"/>
    <w:rsid w:val="00DD3CA8"/>
    <w:rsid w:val="00DF40BC"/>
    <w:rsid w:val="00E00707"/>
    <w:rsid w:val="00E20E79"/>
    <w:rsid w:val="00E238DB"/>
    <w:rsid w:val="00E5440F"/>
    <w:rsid w:val="00E5469A"/>
    <w:rsid w:val="00E56179"/>
    <w:rsid w:val="00E56A38"/>
    <w:rsid w:val="00E622AC"/>
    <w:rsid w:val="00E71D0F"/>
    <w:rsid w:val="00E91253"/>
    <w:rsid w:val="00EA5662"/>
    <w:rsid w:val="00EC55CC"/>
    <w:rsid w:val="00ED35AA"/>
    <w:rsid w:val="00EE1742"/>
    <w:rsid w:val="00EF15A5"/>
    <w:rsid w:val="00EF1B0D"/>
    <w:rsid w:val="00EF2594"/>
    <w:rsid w:val="00F02BD1"/>
    <w:rsid w:val="00F151E3"/>
    <w:rsid w:val="00F4245C"/>
    <w:rsid w:val="00F46B83"/>
    <w:rsid w:val="00F51286"/>
    <w:rsid w:val="00F5393E"/>
    <w:rsid w:val="00F672A2"/>
    <w:rsid w:val="00F7200A"/>
    <w:rsid w:val="00F82C78"/>
    <w:rsid w:val="00F93B28"/>
    <w:rsid w:val="00FA7DE4"/>
    <w:rsid w:val="00FA7FA0"/>
    <w:rsid w:val="00FD4BE5"/>
    <w:rsid w:val="00FD5627"/>
    <w:rsid w:val="00FD5C06"/>
    <w:rsid w:val="00FE2BED"/>
    <w:rsid w:val="00FE5175"/>
    <w:rsid w:val="00FE5A59"/>
    <w:rsid w:val="00FF2698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D0945"/>
  <w15:chartTrackingRefBased/>
  <w15:docId w15:val="{0087E738-471C-4FD9-B25E-15070576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Number 2" w:qFormat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0"/>
    <w:qFormat/>
    <w:rsid w:val="00FD5627"/>
    <w:pPr>
      <w:spacing w:after="0" w:line="260" w:lineRule="atLeast"/>
    </w:pPr>
    <w:rPr>
      <w:sz w:val="22"/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087DE9"/>
    <w:pPr>
      <w:keepNext/>
      <w:keepLines/>
      <w:spacing w:before="320" w:after="400" w:line="400" w:lineRule="atLeast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400AD7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rsid w:val="00A73893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E56A3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iCs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9B1B65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dpis6">
    <w:name w:val="heading 6"/>
    <w:basedOn w:val="Normln"/>
    <w:next w:val="Normln"/>
    <w:link w:val="Nadpis6Char"/>
    <w:uiPriority w:val="9"/>
    <w:semiHidden/>
    <w:rsid w:val="009B1B65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rsid w:val="009B1B65"/>
    <w:pPr>
      <w:keepNext/>
      <w:keepLines/>
      <w:spacing w:before="120"/>
      <w:outlineLvl w:val="6"/>
    </w:pPr>
    <w:rPr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rsid w:val="009B1B65"/>
    <w:pPr>
      <w:keepNext/>
      <w:keepLines/>
      <w:spacing w:before="120"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uiPriority w:val="9"/>
    <w:semiHidden/>
    <w:rsid w:val="009B1B65"/>
    <w:pPr>
      <w:keepNext/>
      <w:keepLines/>
      <w:spacing w:before="120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7DE9"/>
    <w:rPr>
      <w:rFonts w:asciiTheme="majorHAnsi" w:eastAsiaTheme="majorEastAsia" w:hAnsiTheme="majorHAnsi" w:cstheme="majorBidi"/>
      <w:b/>
      <w:bCs/>
      <w:sz w:val="36"/>
      <w:szCs w:val="28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400AD7"/>
    <w:rPr>
      <w:rFonts w:asciiTheme="majorHAnsi" w:eastAsiaTheme="majorEastAsia" w:hAnsiTheme="majorHAnsi" w:cstheme="majorBidi"/>
      <w:b/>
      <w:bCs/>
      <w:sz w:val="22"/>
      <w:szCs w:val="28"/>
      <w:lang w:val="en-GB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F607E"/>
    <w:rPr>
      <w:rFonts w:asciiTheme="majorHAnsi" w:eastAsiaTheme="majorEastAsia" w:hAnsiTheme="majorHAnsi" w:cstheme="majorBidi"/>
      <w:b/>
      <w:sz w:val="24"/>
      <w:szCs w:val="24"/>
      <w:lang w:val="en-GB"/>
    </w:rPr>
  </w:style>
  <w:style w:type="character" w:customStyle="1" w:styleId="Nadpis4Char">
    <w:name w:val="Nadpis 4 Char"/>
    <w:basedOn w:val="Standardnpsmoodstavce"/>
    <w:link w:val="Nadpis4"/>
    <w:uiPriority w:val="9"/>
    <w:rsid w:val="006F607E"/>
    <w:rPr>
      <w:rFonts w:asciiTheme="majorHAnsi" w:eastAsiaTheme="majorEastAsia" w:hAnsiTheme="majorHAnsi" w:cstheme="majorBidi"/>
      <w:b/>
      <w:iCs/>
      <w:sz w:val="22"/>
      <w:szCs w:val="24"/>
      <w:lang w:val="en-GB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E716E"/>
    <w:rPr>
      <w:rFonts w:asciiTheme="majorHAnsi" w:eastAsiaTheme="majorEastAsia" w:hAnsiTheme="majorHAnsi" w:cstheme="majorBidi"/>
      <w:b/>
      <w:bCs/>
      <w:lang w:val="en-GB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E716E"/>
    <w:rPr>
      <w:rFonts w:asciiTheme="majorHAnsi" w:eastAsiaTheme="majorEastAsia" w:hAnsiTheme="majorHAnsi" w:cstheme="majorBidi"/>
      <w:b/>
      <w:bCs/>
      <w:i/>
      <w:iCs/>
      <w:lang w:val="en-GB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E716E"/>
    <w:rPr>
      <w:i/>
      <w:iCs/>
      <w:lang w:val="en-GB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E716E"/>
    <w:rPr>
      <w:b/>
      <w:bCs/>
      <w:lang w:val="en-GB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E716E"/>
    <w:rPr>
      <w:i/>
      <w:iCs/>
      <w:lang w:val="en-GB"/>
    </w:rPr>
  </w:style>
  <w:style w:type="paragraph" w:styleId="Titulek">
    <w:name w:val="caption"/>
    <w:basedOn w:val="Normln"/>
    <w:next w:val="Normln"/>
    <w:uiPriority w:val="35"/>
    <w:semiHidden/>
    <w:rsid w:val="009B1B65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9C6FDB"/>
    <w:pPr>
      <w:spacing w:line="240" w:lineRule="auto"/>
      <w:contextualSpacing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F607E"/>
    <w:rPr>
      <w:rFonts w:asciiTheme="majorHAnsi" w:eastAsiaTheme="majorEastAsia" w:hAnsiTheme="majorHAnsi" w:cstheme="majorBidi"/>
      <w:b/>
      <w:bCs/>
      <w:sz w:val="48"/>
      <w:szCs w:val="48"/>
      <w:lang w:val="en-GB"/>
    </w:rPr>
  </w:style>
  <w:style w:type="paragraph" w:styleId="Podnadpis">
    <w:name w:val="Subtitle"/>
    <w:basedOn w:val="Normln"/>
    <w:next w:val="Normln"/>
    <w:link w:val="PodnadpisChar"/>
    <w:uiPriority w:val="11"/>
    <w:semiHidden/>
    <w:qFormat/>
    <w:rsid w:val="009C6FDB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6F607E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styleId="Siln">
    <w:name w:val="Strong"/>
    <w:basedOn w:val="Standardnpsmoodstavce"/>
    <w:uiPriority w:val="22"/>
    <w:semiHidden/>
    <w:rsid w:val="009B1B65"/>
    <w:rPr>
      <w:b/>
      <w:bCs/>
      <w:color w:val="auto"/>
    </w:rPr>
  </w:style>
  <w:style w:type="character" w:styleId="Zdraznn">
    <w:name w:val="Emphasis"/>
    <w:basedOn w:val="Standardnpsmoodstavce"/>
    <w:uiPriority w:val="20"/>
    <w:semiHidden/>
    <w:rsid w:val="009B1B65"/>
    <w:rPr>
      <w:i/>
      <w:iCs/>
      <w:color w:val="auto"/>
    </w:rPr>
  </w:style>
  <w:style w:type="paragraph" w:styleId="Bezmezer">
    <w:name w:val="No Spacing"/>
    <w:uiPriority w:val="1"/>
    <w:semiHidden/>
    <w:rsid w:val="00EA5662"/>
    <w:pPr>
      <w:spacing w:after="0"/>
    </w:pPr>
  </w:style>
  <w:style w:type="paragraph" w:styleId="Citt">
    <w:name w:val="Quote"/>
    <w:basedOn w:val="Normln"/>
    <w:next w:val="Normln"/>
    <w:link w:val="CittChar"/>
    <w:uiPriority w:val="29"/>
    <w:semiHidden/>
    <w:rsid w:val="009B1B6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B1B6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9B1B65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9B1B65"/>
    <w:rPr>
      <w:rFonts w:asciiTheme="majorHAnsi" w:eastAsiaTheme="majorEastAsia" w:hAnsiTheme="majorHAnsi" w:cstheme="majorBidi"/>
      <w:sz w:val="26"/>
      <w:szCs w:val="26"/>
    </w:rPr>
  </w:style>
  <w:style w:type="character" w:styleId="Zdraznnjemn">
    <w:name w:val="Subtle Emphasis"/>
    <w:basedOn w:val="Standardnpsmoodstavce"/>
    <w:uiPriority w:val="19"/>
    <w:semiHidden/>
    <w:rsid w:val="009B1B65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semiHidden/>
    <w:rsid w:val="009B1B65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semiHidden/>
    <w:rsid w:val="009B1B65"/>
    <w:rPr>
      <w:smallCaps/>
      <w:color w:val="auto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semiHidden/>
    <w:rsid w:val="009B1B65"/>
    <w:rPr>
      <w:b/>
      <w:bCs/>
      <w:smallCaps/>
      <w:color w:val="auto"/>
      <w:u w:val="single"/>
    </w:rPr>
  </w:style>
  <w:style w:type="character" w:styleId="Nzevknihy">
    <w:name w:val="Book Title"/>
    <w:basedOn w:val="Standardnpsmoodstavce"/>
    <w:uiPriority w:val="33"/>
    <w:semiHidden/>
    <w:rsid w:val="009B1B65"/>
    <w:rPr>
      <w:b/>
      <w:bCs/>
      <w:smallCaps/>
      <w:color w:val="auto"/>
    </w:rPr>
  </w:style>
  <w:style w:type="paragraph" w:styleId="Nadpisobsahu">
    <w:name w:val="TOC Heading"/>
    <w:basedOn w:val="Normln"/>
    <w:next w:val="Normln"/>
    <w:uiPriority w:val="39"/>
    <w:semiHidden/>
    <w:rsid w:val="009B1B65"/>
    <w:rPr>
      <w:rFonts w:asciiTheme="majorHAnsi" w:hAnsiTheme="majorHAnsi"/>
      <w:b/>
      <w:sz w:val="32"/>
    </w:rPr>
  </w:style>
  <w:style w:type="paragraph" w:styleId="Seznamsodrkami">
    <w:name w:val="List Bullet"/>
    <w:basedOn w:val="Normln"/>
    <w:uiPriority w:val="19"/>
    <w:qFormat/>
    <w:rsid w:val="00E20E79"/>
    <w:pPr>
      <w:numPr>
        <w:numId w:val="23"/>
      </w:numPr>
      <w:contextualSpacing/>
    </w:pPr>
    <w:rPr>
      <w:szCs w:val="22"/>
    </w:rPr>
  </w:style>
  <w:style w:type="paragraph" w:styleId="slovanseznam">
    <w:name w:val="List Number"/>
    <w:basedOn w:val="Normln"/>
    <w:uiPriority w:val="20"/>
    <w:qFormat/>
    <w:rsid w:val="002D3EC7"/>
    <w:pPr>
      <w:numPr>
        <w:numId w:val="26"/>
      </w:numPr>
    </w:pPr>
    <w:rPr>
      <w:lang w:val="sv-SE"/>
    </w:rPr>
  </w:style>
  <w:style w:type="table" w:styleId="Mkatabulky">
    <w:name w:val="Table Grid"/>
    <w:basedOn w:val="Normlntabulka"/>
    <w:uiPriority w:val="39"/>
    <w:rsid w:val="0088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rsid w:val="00884E47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F607E"/>
    <w:rPr>
      <w:sz w:val="20"/>
      <w:szCs w:val="20"/>
      <w:lang w:val="en-GB"/>
    </w:rPr>
  </w:style>
  <w:style w:type="character" w:styleId="Znakapoznpodarou">
    <w:name w:val="footnote reference"/>
    <w:basedOn w:val="Standardnpsmoodstavce"/>
    <w:uiPriority w:val="99"/>
    <w:semiHidden/>
    <w:rsid w:val="00884E47"/>
    <w:rPr>
      <w:vertAlign w:val="superscript"/>
    </w:rPr>
  </w:style>
  <w:style w:type="paragraph" w:styleId="Zhlav">
    <w:name w:val="header"/>
    <w:basedOn w:val="Normln"/>
    <w:link w:val="ZhlavChar"/>
    <w:uiPriority w:val="99"/>
    <w:semiHidden/>
    <w:rsid w:val="007F7F1B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6F607E"/>
    <w:rPr>
      <w:sz w:val="16"/>
      <w:lang w:val="en-GB"/>
    </w:rPr>
  </w:style>
  <w:style w:type="paragraph" w:styleId="Zpat">
    <w:name w:val="footer"/>
    <w:basedOn w:val="Normln"/>
    <w:link w:val="ZpatChar"/>
    <w:uiPriority w:val="44"/>
    <w:rsid w:val="00FD5627"/>
    <w:pPr>
      <w:tabs>
        <w:tab w:val="center" w:pos="4536"/>
        <w:tab w:val="right" w:pos="9072"/>
      </w:tabs>
      <w:spacing w:line="192" w:lineRule="atLeas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44"/>
    <w:rsid w:val="00FD5627"/>
    <w:rPr>
      <w:sz w:val="16"/>
      <w:lang w:val="en-GB"/>
    </w:rPr>
  </w:style>
  <w:style w:type="paragraph" w:styleId="Obsah1">
    <w:name w:val="toc 1"/>
    <w:basedOn w:val="Normln"/>
    <w:next w:val="Normln"/>
    <w:uiPriority w:val="39"/>
    <w:semiHidden/>
    <w:rsid w:val="008555A7"/>
    <w:pPr>
      <w:spacing w:after="100"/>
    </w:pPr>
  </w:style>
  <w:style w:type="paragraph" w:styleId="Obsah2">
    <w:name w:val="toc 2"/>
    <w:basedOn w:val="Normln"/>
    <w:next w:val="Normln"/>
    <w:uiPriority w:val="39"/>
    <w:semiHidden/>
    <w:rsid w:val="008555A7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semiHidden/>
    <w:rsid w:val="008555A7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semiHidden/>
    <w:rsid w:val="008555A7"/>
    <w:rPr>
      <w:color w:val="0563C1" w:themeColor="hyperlink"/>
      <w:u w:val="single"/>
    </w:rPr>
  </w:style>
  <w:style w:type="paragraph" w:styleId="Obsah4">
    <w:name w:val="toc 4"/>
    <w:basedOn w:val="Normln"/>
    <w:next w:val="Normln"/>
    <w:uiPriority w:val="39"/>
    <w:semiHidden/>
    <w:rsid w:val="00FF2698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semiHidden/>
    <w:rsid w:val="00FF2698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semiHidden/>
    <w:rsid w:val="00FF2698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semiHidden/>
    <w:rsid w:val="00FF2698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semiHidden/>
    <w:rsid w:val="00FF2698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semiHidden/>
    <w:rsid w:val="00FF2698"/>
    <w:pPr>
      <w:spacing w:after="100"/>
      <w:ind w:left="1760"/>
    </w:pPr>
  </w:style>
  <w:style w:type="paragraph" w:styleId="slovanseznam2">
    <w:name w:val="List Number 2"/>
    <w:basedOn w:val="slovanseznam"/>
    <w:uiPriority w:val="20"/>
    <w:qFormat/>
    <w:rsid w:val="002D3EC7"/>
    <w:pPr>
      <w:numPr>
        <w:ilvl w:val="1"/>
      </w:numPr>
    </w:pPr>
  </w:style>
  <w:style w:type="paragraph" w:styleId="slovanseznam3">
    <w:name w:val="List Number 3"/>
    <w:basedOn w:val="slovanseznam2"/>
    <w:uiPriority w:val="99"/>
    <w:semiHidden/>
    <w:rsid w:val="002D3EC7"/>
    <w:pPr>
      <w:numPr>
        <w:ilvl w:val="2"/>
      </w:numPr>
    </w:pPr>
  </w:style>
  <w:style w:type="paragraph" w:styleId="slovanseznam4">
    <w:name w:val="List Number 4"/>
    <w:basedOn w:val="slovanseznam3"/>
    <w:uiPriority w:val="99"/>
    <w:semiHidden/>
    <w:rsid w:val="00130001"/>
    <w:pPr>
      <w:numPr>
        <w:ilvl w:val="3"/>
      </w:numPr>
    </w:pPr>
  </w:style>
  <w:style w:type="paragraph" w:styleId="slovanseznam5">
    <w:name w:val="List Number 5"/>
    <w:basedOn w:val="slovanseznam4"/>
    <w:uiPriority w:val="99"/>
    <w:semiHidden/>
    <w:rsid w:val="00130001"/>
    <w:pPr>
      <w:numPr>
        <w:ilvl w:val="4"/>
      </w:numPr>
    </w:pPr>
  </w:style>
  <w:style w:type="paragraph" w:styleId="Seznamsodrkami2">
    <w:name w:val="List Bullet 2"/>
    <w:basedOn w:val="Normln"/>
    <w:uiPriority w:val="19"/>
    <w:rsid w:val="00BC4211"/>
    <w:pPr>
      <w:numPr>
        <w:ilvl w:val="1"/>
        <w:numId w:val="23"/>
      </w:numPr>
      <w:contextualSpacing/>
    </w:pPr>
    <w:rPr>
      <w:szCs w:val="22"/>
    </w:rPr>
  </w:style>
  <w:style w:type="paragraph" w:styleId="Seznamsodrkami3">
    <w:name w:val="List Bullet 3"/>
    <w:basedOn w:val="Normln"/>
    <w:uiPriority w:val="19"/>
    <w:rsid w:val="0041319B"/>
    <w:pPr>
      <w:numPr>
        <w:ilvl w:val="2"/>
        <w:numId w:val="23"/>
      </w:numPr>
      <w:spacing w:line="288" w:lineRule="auto"/>
      <w:contextualSpacing/>
    </w:pPr>
    <w:rPr>
      <w:szCs w:val="22"/>
    </w:rPr>
  </w:style>
  <w:style w:type="paragraph" w:styleId="Seznamsodrkami4">
    <w:name w:val="List Bullet 4"/>
    <w:basedOn w:val="Normln"/>
    <w:uiPriority w:val="99"/>
    <w:semiHidden/>
    <w:rsid w:val="00A16716"/>
    <w:pPr>
      <w:numPr>
        <w:ilvl w:val="3"/>
        <w:numId w:val="23"/>
      </w:numPr>
      <w:spacing w:line="288" w:lineRule="auto"/>
      <w:contextualSpacing/>
    </w:pPr>
    <w:rPr>
      <w:szCs w:val="22"/>
    </w:rPr>
  </w:style>
  <w:style w:type="paragraph" w:styleId="Seznamsodrkami5">
    <w:name w:val="List Bullet 5"/>
    <w:basedOn w:val="Normln"/>
    <w:uiPriority w:val="99"/>
    <w:semiHidden/>
    <w:rsid w:val="00A16716"/>
    <w:pPr>
      <w:numPr>
        <w:ilvl w:val="4"/>
        <w:numId w:val="23"/>
      </w:numPr>
      <w:spacing w:line="288" w:lineRule="auto"/>
      <w:contextualSpacing/>
    </w:pPr>
    <w:rPr>
      <w:szCs w:val="22"/>
    </w:rPr>
  </w:style>
  <w:style w:type="character" w:styleId="Zstupntext">
    <w:name w:val="Placeholder Text"/>
    <w:basedOn w:val="Standardnpsmoodstavce"/>
    <w:uiPriority w:val="99"/>
    <w:semiHidden/>
    <w:rsid w:val="009C6FDB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Hiddentext">
    <w:name w:val="Hidden text"/>
    <w:basedOn w:val="Normln"/>
    <w:next w:val="Normln"/>
    <w:uiPriority w:val="24"/>
    <w:semiHidden/>
    <w:qFormat/>
    <w:rsid w:val="00D86E66"/>
    <w:rPr>
      <w:vanish/>
      <w:color w:val="C00000"/>
    </w:rPr>
  </w:style>
  <w:style w:type="paragraph" w:customStyle="1" w:styleId="NumberedHeading1">
    <w:name w:val="Numbered Heading 1"/>
    <w:basedOn w:val="Nadpis1"/>
    <w:next w:val="Normln"/>
    <w:uiPriority w:val="10"/>
    <w:qFormat/>
    <w:rsid w:val="00E20E79"/>
    <w:pPr>
      <w:numPr>
        <w:numId w:val="12"/>
      </w:numPr>
      <w:tabs>
        <w:tab w:val="left" w:pos="284"/>
      </w:tabs>
      <w:spacing w:before="240" w:after="80" w:line="260" w:lineRule="atLeast"/>
    </w:pPr>
    <w:rPr>
      <w:sz w:val="22"/>
    </w:rPr>
  </w:style>
  <w:style w:type="paragraph" w:customStyle="1" w:styleId="NumberedHeading2">
    <w:name w:val="Numbered Heading 2"/>
    <w:basedOn w:val="Nadpis2"/>
    <w:next w:val="Normln"/>
    <w:uiPriority w:val="10"/>
    <w:qFormat/>
    <w:rsid w:val="00E20E79"/>
    <w:pPr>
      <w:numPr>
        <w:ilvl w:val="1"/>
        <w:numId w:val="12"/>
      </w:numPr>
      <w:tabs>
        <w:tab w:val="left" w:pos="284"/>
      </w:tabs>
      <w:spacing w:after="80"/>
    </w:pPr>
  </w:style>
  <w:style w:type="paragraph" w:customStyle="1" w:styleId="NumberedHeading3">
    <w:name w:val="Numbered Heading 3"/>
    <w:basedOn w:val="Nadpis3"/>
    <w:next w:val="Normln"/>
    <w:uiPriority w:val="10"/>
    <w:qFormat/>
    <w:rsid w:val="00E20E79"/>
    <w:pPr>
      <w:numPr>
        <w:ilvl w:val="2"/>
        <w:numId w:val="12"/>
      </w:numPr>
      <w:tabs>
        <w:tab w:val="left" w:pos="284"/>
      </w:tabs>
      <w:spacing w:before="240" w:after="80"/>
    </w:pPr>
    <w:rPr>
      <w:sz w:val="22"/>
    </w:rPr>
  </w:style>
  <w:style w:type="paragraph" w:customStyle="1" w:styleId="NumberedHeading4">
    <w:name w:val="Numbered Heading 4"/>
    <w:basedOn w:val="Nadpis4"/>
    <w:next w:val="Normln"/>
    <w:uiPriority w:val="10"/>
    <w:semiHidden/>
    <w:qFormat/>
    <w:rsid w:val="00DA7B63"/>
    <w:pPr>
      <w:numPr>
        <w:ilvl w:val="3"/>
        <w:numId w:val="12"/>
      </w:numPr>
    </w:pPr>
  </w:style>
  <w:style w:type="paragraph" w:customStyle="1" w:styleId="Preamble">
    <w:name w:val="Preamble"/>
    <w:basedOn w:val="Normln"/>
    <w:next w:val="Normln"/>
    <w:uiPriority w:val="10"/>
    <w:qFormat/>
    <w:rsid w:val="00930317"/>
    <w:pPr>
      <w:spacing w:before="320" w:after="720" w:line="340" w:lineRule="atLeast"/>
      <w:ind w:right="397"/>
    </w:pPr>
    <w:rPr>
      <w:sz w:val="30"/>
    </w:rPr>
  </w:style>
  <w:style w:type="character" w:styleId="Nevyeenzmnka">
    <w:name w:val="Unresolved Mention"/>
    <w:basedOn w:val="Standardnpsmoodstavce"/>
    <w:uiPriority w:val="99"/>
    <w:semiHidden/>
    <w:unhideWhenUsed/>
    <w:rsid w:val="001E2382"/>
    <w:rPr>
      <w:color w:val="808080"/>
      <w:shd w:val="clear" w:color="auto" w:fill="E6E6E6"/>
    </w:rPr>
  </w:style>
  <w:style w:type="table" w:customStyle="1" w:styleId="Tabellrutnt1">
    <w:name w:val="Tabellrutnät1"/>
    <w:basedOn w:val="Normlntabulka"/>
    <w:next w:val="Mkatabulky"/>
    <w:uiPriority w:val="39"/>
    <w:rsid w:val="001D0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Normlntabulka"/>
    <w:next w:val="Mkatabulky"/>
    <w:uiPriority w:val="39"/>
    <w:rsid w:val="004B4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rsid w:val="00FD5627"/>
    <w:rPr>
      <w:rFonts w:asciiTheme="minorHAnsi" w:hAnsiTheme="minorHAnsi"/>
      <w:sz w:val="16"/>
    </w:rPr>
  </w:style>
  <w:style w:type="paragraph" w:styleId="Normlnweb">
    <w:name w:val="Normal (Web)"/>
    <w:basedOn w:val="Normln"/>
    <w:uiPriority w:val="99"/>
    <w:semiHidden/>
    <w:unhideWhenUsed/>
    <w:rsid w:val="007D2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semiHidden/>
    <w:rsid w:val="00727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intrum.pl/partner-biznesowy/raporty-i-analizy/raporty/european-payment-report-2023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Kolik procent týdně stráví průměrná společnost vymáháním pohledávek?</a:t>
            </a:r>
            <a:endParaRPr lang="en-US"/>
          </a:p>
        </c:rich>
      </c:tx>
      <c:layout>
        <c:manualLayout>
          <c:xMode val="edge"/>
          <c:yMode val="edge"/>
          <c:x val="1.3534558180227472E-2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3442804024496938"/>
          <c:y val="0.21324074074074079"/>
          <c:w val="0.40538888888888891"/>
          <c:h val="0.67564814814814811"/>
        </c:manualLayout>
      </c:layout>
      <c:doughnutChart>
        <c:varyColors val="1"/>
        <c:ser>
          <c:idx val="0"/>
          <c:order val="0"/>
          <c:tx>
            <c:strRef>
              <c:f>List1!$B$3</c:f>
              <c:strCache>
                <c:ptCount val="1"/>
                <c:pt idx="0">
                  <c:v>Procent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53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E99-4496-ADCD-DC6A501D090D}"/>
              </c:ext>
            </c:extLst>
          </c:dPt>
          <c:dPt>
            <c:idx val="1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E99-4496-ADCD-DC6A501D090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E99-4496-ADCD-DC6A501D090D}"/>
              </c:ext>
            </c:extLst>
          </c:dPt>
          <c:dPt>
            <c:idx val="3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E99-4496-ADCD-DC6A501D090D}"/>
              </c:ext>
            </c:extLst>
          </c:dPt>
          <c:dPt>
            <c:idx val="4"/>
            <c:bubble3D val="0"/>
            <c:spPr>
              <a:solidFill>
                <a:schemeClr val="accent1">
                  <a:tint val="54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E99-4496-ADCD-DC6A501D090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List1!$A$4:$A$8</c:f>
              <c:strCache>
                <c:ptCount val="5"/>
                <c:pt idx="0">
                  <c:v>méně než 2 hodiny</c:v>
                </c:pt>
                <c:pt idx="1">
                  <c:v>2 - 4,9 hod</c:v>
                </c:pt>
                <c:pt idx="2">
                  <c:v>5-9,8 hod</c:v>
                </c:pt>
                <c:pt idx="3">
                  <c:v>10 - 19,9 hod</c:v>
                </c:pt>
                <c:pt idx="4">
                  <c:v>více jak 20 hod</c:v>
                </c:pt>
              </c:strCache>
            </c:strRef>
          </c:cat>
          <c:val>
            <c:numRef>
              <c:f>List1!$B$4:$B$8</c:f>
              <c:numCache>
                <c:formatCode>0%</c:formatCode>
                <c:ptCount val="5"/>
                <c:pt idx="0">
                  <c:v>0.06</c:v>
                </c:pt>
                <c:pt idx="1">
                  <c:v>0.23</c:v>
                </c:pt>
                <c:pt idx="2">
                  <c:v>0.34</c:v>
                </c:pt>
                <c:pt idx="3">
                  <c:v>0.28999999999999998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E99-4496-ADCD-DC6A501D09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480052493438328"/>
          <c:y val="0.36131302674944993"/>
          <c:w val="0.23686614173228346"/>
          <c:h val="0.35771309578373439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0"/>
        <a:lstStyle/>
        <a:p>
          <a:pPr rtl="0"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Podle evropské směrnice o opožděných platbách máte automaticky nárok na úrok z prodlení a minimálně 40 EUR jako náhradu nákladů na vymáhání za každou pozdě zaplacenou fakturu. V jakém rozsahu toto právo uplatňujete?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Q20a: Under the European Late Payment Directive, you are automatically entitled to interest for late payment and €40 minimum as compensation for recovery costs for each invoice paid late. To what extent do you exercise this right?</c:v>
          </c:tx>
          <c:spPr>
            <a:solidFill>
              <a:srgbClr val="F59300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(Q20A!$B$12,Q20A!$B$15,Q20A!$B$18,Q20A!$B$21,Q20A!$B$24)</c:f>
              <c:strCache>
                <c:ptCount val="5"/>
                <c:pt idx="0">
                  <c:v>Vůbec ne</c:v>
                </c:pt>
                <c:pt idx="1">
                  <c:v>Někdy</c:v>
                </c:pt>
                <c:pt idx="2">
                  <c:v>Vždy</c:v>
                </c:pt>
                <c:pt idx="3">
                  <c:v>Nejsem si jist</c:v>
                </c:pt>
                <c:pt idx="4">
                  <c:v>Nejsme obeznámeni s evropskou směrnicí o opožděných platbách.</c:v>
                </c:pt>
              </c:strCache>
            </c:strRef>
          </c:cat>
          <c:val>
            <c:numRef>
              <c:f>Q20A!$D$31:$D$35</c:f>
              <c:numCache>
                <c:formatCode>0%</c:formatCode>
                <c:ptCount val="5"/>
                <c:pt idx="0">
                  <c:v>0.01</c:v>
                </c:pt>
                <c:pt idx="1">
                  <c:v>0.02</c:v>
                </c:pt>
                <c:pt idx="2">
                  <c:v>0.21</c:v>
                </c:pt>
                <c:pt idx="3">
                  <c:v>0.38</c:v>
                </c:pt>
                <c:pt idx="4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A-4511-B9D7-9758309CE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"/>
        <c:axId val="2"/>
      </c:barChart>
      <c:catAx>
        <c:axId val="1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"/>
        <c:crosses val="autoZero"/>
        <c:auto val="0"/>
        <c:lblAlgn val="ctr"/>
        <c:lblOffset val="100"/>
        <c:noMultiLvlLbl val="0"/>
      </c:catAx>
      <c:valAx>
        <c:axId val="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"/>
        <c:crosses val="autoZero"/>
        <c:crossBetween val="between"/>
      </c:valAx>
    </c:plotArea>
    <c:plotVisOnly val="0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Intrum">
  <a:themeElements>
    <a:clrScheme name="Intrum Nya färgerna">
      <a:dk1>
        <a:sysClr val="windowText" lastClr="000000"/>
      </a:dk1>
      <a:lt1>
        <a:sysClr val="window" lastClr="FFFFFF"/>
      </a:lt1>
      <a:dk2>
        <a:srgbClr val="7C7A7A"/>
      </a:dk2>
      <a:lt2>
        <a:srgbClr val="FFFFFF"/>
      </a:lt2>
      <a:accent1>
        <a:srgbClr val="7C7A7A"/>
      </a:accent1>
      <a:accent2>
        <a:srgbClr val="674E74"/>
      </a:accent2>
      <a:accent3>
        <a:srgbClr val="35707F"/>
      </a:accent3>
      <a:accent4>
        <a:srgbClr val="9E366B"/>
      </a:accent4>
      <a:accent5>
        <a:srgbClr val="29577E"/>
      </a:accent5>
      <a:accent6>
        <a:srgbClr val="3DA8AA"/>
      </a:accent6>
      <a:hlink>
        <a:srgbClr val="0563C1"/>
      </a:hlink>
      <a:folHlink>
        <a:srgbClr val="954F72"/>
      </a:folHlink>
    </a:clrScheme>
    <a:fontScheme name="Intrum Sans">
      <a:majorFont>
        <a:latin typeface="Intrum Sans"/>
        <a:ea typeface=""/>
        <a:cs typeface=""/>
      </a:majorFont>
      <a:minorFont>
        <a:latin typeface="Intru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BFE2F4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custClrLst>
    <a:custClr name="Light Gray">
      <a:srgbClr val="DBD7D2"/>
    </a:custClr>
    <a:custClr name="Light Purple">
      <a:srgbClr val="EDD0E1"/>
    </a:custClr>
    <a:custClr name="Light Petrol">
      <a:srgbClr val="C7E4E2"/>
    </a:custClr>
    <a:custClr name="Light Red">
      <a:srgbClr val="FBCFC9"/>
    </a:custClr>
    <a:custClr name="Light Blue">
      <a:srgbClr val="BFE2F4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Grey">
      <a:srgbClr val="ABA8A6"/>
    </a:custClr>
    <a:custClr name="Purple">
      <a:srgbClr val="8E5C96"/>
    </a:custClr>
    <a:custClr name="Petrol">
      <a:srgbClr val="00A0A6"/>
    </a:custClr>
    <a:custClr name="Red">
      <a:srgbClr val="EA4278"/>
    </a:custClr>
    <a:custClr name="Blue">
      <a:srgbClr val="007CCB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Dark Gray">
      <a:srgbClr val="7C7A7A"/>
    </a:custClr>
    <a:custClr name="Dark Purple">
      <a:srgbClr val="634274"/>
    </a:custClr>
    <a:custClr name="Dark Petrol">
      <a:srgbClr val="005969"/>
    </a:custClr>
    <a:custClr name="Dark Red">
      <a:srgbClr val="993062"/>
    </a:custClr>
    <a:custClr name="Dark Blue">
      <a:srgbClr val="1D527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Intrum" id="{3D264B62-E88E-4531-8042-BD15D3B13B98}" vid="{974B85B2-88EE-45B2-A5C3-71436A5E6D40}"/>
    </a:ext>
  </a:extLst>
</a:theme>
</file>

<file path=word/theme/themeOverride1.xml><?xml version="1.0" encoding="utf-8"?>
<a:themeOverride xmlns:a="http://schemas.openxmlformats.org/drawingml/2006/main">
  <a:clrScheme name="Červeno-fialová">
    <a:dk1>
      <a:sysClr val="windowText" lastClr="000000"/>
    </a:dk1>
    <a:lt1>
      <a:sysClr val="window" lastClr="FFFFFF"/>
    </a:lt1>
    <a:dk2>
      <a:srgbClr val="454551"/>
    </a:dk2>
    <a:lt2>
      <a:srgbClr val="D8D9DC"/>
    </a:lt2>
    <a:accent1>
      <a:srgbClr val="E32D91"/>
    </a:accent1>
    <a:accent2>
      <a:srgbClr val="C830CC"/>
    </a:accent2>
    <a:accent3>
      <a:srgbClr val="4EA6DC"/>
    </a:accent3>
    <a:accent4>
      <a:srgbClr val="4775E7"/>
    </a:accent4>
    <a:accent5>
      <a:srgbClr val="8971E1"/>
    </a:accent5>
    <a:accent6>
      <a:srgbClr val="D54773"/>
    </a:accent6>
    <a:hlink>
      <a:srgbClr val="6B9F25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07-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O>
  <Rubrik/>
  <Version/>
  <Ansvarig/>
  <Datum/>
</SO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BBCBF21362E4099AE6C2F27C58737" ma:contentTypeVersion="5" ma:contentTypeDescription="Skapa ett nytt dokument." ma:contentTypeScope="" ma:versionID="47256a31c357198de221c990f03e7199">
  <xsd:schema xmlns:xsd="http://www.w3.org/2001/XMLSchema" xmlns:xs="http://www.w3.org/2001/XMLSchema" xmlns:p="http://schemas.microsoft.com/office/2006/metadata/properties" xmlns:ns2="10c3a147-0d64-46aa-a281-dc97358e8373" targetNamespace="http://schemas.microsoft.com/office/2006/metadata/properties" ma:root="true" ma:fieldsID="c7423f1818a6eee3155d7357ef39dc63" ns2:_="">
    <xsd:import namespace="10c3a147-0d64-46aa-a281-dc97358e83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3a147-0d64-46aa-a281-dc97358e8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063E1-6729-42D1-9795-0B727F056264}">
  <ds:schemaRefs/>
</ds:datastoreItem>
</file>

<file path=customXml/itemProps2.xml><?xml version="1.0" encoding="utf-8"?>
<ds:datastoreItem xmlns:ds="http://schemas.openxmlformats.org/officeDocument/2006/customXml" ds:itemID="{BA4C0785-8BCA-4EE0-8C3C-E6A00FB6E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3a147-0d64-46aa-a281-dc97358e8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B3218-2A85-4357-AF2B-497B11C618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9BFD4F-F2FC-46E7-B3CE-2D022EB865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373341C-1446-4183-A480-78E920D1A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Jirková</dc:creator>
  <cp:keywords/>
  <dc:description/>
  <cp:lastModifiedBy>Marie Jirková</cp:lastModifiedBy>
  <cp:revision>22</cp:revision>
  <dcterms:created xsi:type="dcterms:W3CDTF">2023-08-07T12:14:00Z</dcterms:created>
  <dcterms:modified xsi:type="dcterms:W3CDTF">2023-08-08T14:07:00Z</dcterms:modified>
</cp:coreProperties>
</file>